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из ЕГРН обновлены и дополнены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Приказом Росреестра от 8 октября 2021 года №</w:t>
      </w:r>
      <w:hyperlink r:id="rId8" w:history="1">
        <w:r>
          <w:rPr>
            <w:rStyle w:val="ab"/>
            <w:rFonts w:ascii="Times New Roman" w:hAnsi="Times New Roman" w:cs="Times New Roman"/>
            <w:b/>
            <w:color w:val="000000" w:themeColor="text1"/>
            <w:sz w:val="28"/>
          </w:rPr>
          <w:t>П/0458</w:t>
        </w:r>
      </w:hyperlink>
      <w:r>
        <w:rPr>
          <w:rFonts w:ascii="Times New Roman" w:hAnsi="Times New Roman" w:cs="Times New Roman"/>
          <w:b/>
          <w:sz w:val="28"/>
        </w:rPr>
        <w:t xml:space="preserve"> утверждены новые формы выписок из Единого государственного реестра недвижимости (ЕГРН). О том, что изменится в выписках, рассказывают специалисты Кадастровой палаты по Краснодарскому краю.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Новый приказ вносит изменения в приказ Росреестра от 4 сентября 2020 года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П/0329</w:t>
        </w:r>
      </w:hyperlink>
      <w:r>
        <w:rPr>
          <w:rFonts w:ascii="Times New Roman" w:hAnsi="Times New Roman" w:cs="Times New Roman"/>
          <w:bCs/>
          <w:sz w:val="28"/>
        </w:rPr>
        <w:t>, которым утверждены существующие формы выписок. Нововведения вступают в силу 11 февраля 2022 года, за исключением отдельных положений, вступающих в силу с 2023 года. Разбираем важнейшие для граждан изменения в выписках.</w:t>
      </w:r>
    </w:p>
    <w:p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Утверждена форма выписки из ЕГРН об установленных в пользу отдельного лица ограничениях прав и (или) обременениях объекта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«Новая форма выписки позволит гражданам получить актуальную информацию об ограничениях прав, установленных в их пользу, а также об обременениях, наложенных на объекты недвижимости. Причем, можно запросить информацию об объектах недвижимости, расположенных как на территории определенных субъектов Российской Федерации, так и на территории всей страны. Раньше у правообладателей отсутствовала возможность получить такие сведения в виде отдельной выписки»</w:t>
      </w:r>
      <w:r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– объясняет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Расширена выписка об объекте недвижимости.</w:t>
      </w:r>
    </w:p>
    <w:p>
      <w:pPr>
        <w:spacing w:after="120" w:line="360" w:lineRule="auto"/>
        <w:ind w:left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в данной выписке также будет указано, если:</w:t>
      </w:r>
      <w:bookmarkStart w:id="0" w:name="_GoBack"/>
      <w:bookmarkEnd w:id="0"/>
    </w:p>
    <w:p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lastRenderedPageBreak/>
        <w:t>участок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объект на нем расположены на территории, в отношении которой принято решение о резервировании земель для государственных или муниципальных нужд;</w:t>
      </w:r>
    </w:p>
    <w:p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дом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признан непригодным для проживания, либо аварийным и подлежащим сносу или реконструкции;</w:t>
      </w:r>
    </w:p>
    <w:p>
      <w:pPr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участок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образован путем перераспределения земель государственной или муниципальной собственности и частного участка.</w:t>
      </w:r>
    </w:p>
    <w:p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выписке о правах отдельного лица на имевшиеся (имеющиеся) у него объекты недвижимости будет указана дата регистрации прекращения ограничений прав и обременений объекта недвижимости.</w:t>
      </w:r>
    </w:p>
    <w:p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Дополнена форма выписки о зоне с особыми условиями использования территории,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Теперь в выписке будут указаны виды разрешенного использования объектов капитального строительства, предельные размеры земельных участков, предельные параметры разрешенного строительства и реконструкции объектов капитального строительства, которые предусмотрены градостроительным регламентом или положением об особо охраняемой природной территории.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>
      <w:pPr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бумажном виде в любом офисе МФЦ;</w:t>
      </w:r>
    </w:p>
    <w:p>
      <w:pPr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электронной форме 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>
      <w:pPr>
        <w:numPr>
          <w:ilvl w:val="0"/>
          <w:numId w:val="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сайте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Также бумажную выписку можно заказать не выходя из дома, заказав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716D6"/>
    <w:multiLevelType w:val="hybridMultilevel"/>
    <w:tmpl w:val="992CCB42"/>
    <w:lvl w:ilvl="0" w:tplc="E05E0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5105C"/>
    <w:multiLevelType w:val="hybridMultilevel"/>
    <w:tmpl w:val="7CF0A1A0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3E50C8"/>
    <w:multiLevelType w:val="hybridMultilevel"/>
    <w:tmpl w:val="8E2A5B7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F19FA"/>
    <w:multiLevelType w:val="hybridMultilevel"/>
    <w:tmpl w:val="2B8039E8"/>
    <w:lvl w:ilvl="0" w:tplc="E05E0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10005" TargetMode="External"/><Relationship Id="rId13" Type="http://schemas.openxmlformats.org/officeDocument/2006/relationships/hyperlink" Target="https://lk.rosreestr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site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slugi-pay@23.kadast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adastr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hyperlink" Target="https://kadastr.ru/services/vyezdnoe-obsluzhivan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29</cp:revision>
  <dcterms:created xsi:type="dcterms:W3CDTF">2021-07-30T12:29:00Z</dcterms:created>
  <dcterms:modified xsi:type="dcterms:W3CDTF">2022-02-10T11:42:00Z</dcterms:modified>
</cp:coreProperties>
</file>